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bookmarkStart w:id="0" w:name="_Toc31525"/>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 xml:space="preserve">  广东省第二荣军</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优抚</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医院系统等保测评</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服务</w:t>
      </w:r>
      <w:bookmarkEnd w:id="0"/>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项目要求</w:t>
      </w:r>
    </w:p>
    <w:p>
      <w:pPr>
        <w:pStyle w:val="7"/>
        <w:keepNext w:val="0"/>
        <w:keepLines w:val="0"/>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 w:name="_Toc6841"/>
      <w:bookmarkEnd w:id="1"/>
      <w:bookmarkStart w:id="2" w:name="_Toc32011"/>
      <w:bookmarkEnd w:id="2"/>
      <w:bookmarkStart w:id="3" w:name="_Toc11982"/>
      <w:bookmarkStart w:id="4" w:name="_Toc16"/>
      <w:bookmarkStart w:id="5" w:name="_Toc324237156"/>
      <w:r>
        <w:rPr>
          <w:rFonts w:hint="eastAsia" w:ascii="仿宋" w:hAnsi="仿宋" w:eastAsia="仿宋" w:cs="仿宋"/>
          <w:color w:val="000000" w:themeColor="text1"/>
          <w:sz w:val="24"/>
          <w:szCs w:val="24"/>
          <w14:textFill>
            <w14:solidFill>
              <w14:schemeClr w14:val="tx1"/>
            </w14:solidFill>
          </w14:textFill>
        </w:rPr>
        <w:t>一、项目概况</w:t>
      </w:r>
      <w:bookmarkEnd w:id="3"/>
    </w:p>
    <w:p>
      <w:pPr>
        <w:pStyle w:val="7"/>
        <w:keepNext w:val="0"/>
        <w:keepLines w:val="0"/>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6" w:name="_Toc18616"/>
      <w:r>
        <w:rPr>
          <w:rFonts w:hint="eastAsia" w:ascii="仿宋" w:hAnsi="仿宋" w:eastAsia="仿宋" w:cs="仿宋"/>
          <w:color w:val="000000" w:themeColor="text1"/>
          <w:sz w:val="24"/>
          <w:szCs w:val="24"/>
          <w14:textFill>
            <w14:solidFill>
              <w14:schemeClr w14:val="tx1"/>
            </w14:solidFill>
          </w14:textFill>
        </w:rPr>
        <w:t>（一）具体背景</w:t>
      </w:r>
      <w:bookmarkEnd w:id="6"/>
    </w:p>
    <w:p>
      <w:pPr>
        <w:keepNext w:val="0"/>
        <w:keepLines w:val="0"/>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等级保护是我国开展信息安全工作的基本政策，《中华人民共和国网络安全法》明确了“国家实行网络安全等级保护制度”；《国家信息化领导小组关于加强信息安全保障工作的意见》、《信息安全等级保护管理办法》、《关于加强国家电子政务工程建设项目信息安全风险评估工作的通知》等文件进一步规定了实施信息安全等级保护制度的原则、内容、职责分工、基本要求和实施计划，部署了实施信息安全等级保护工作的操作办法。</w:t>
      </w:r>
    </w:p>
    <w:p>
      <w:pPr>
        <w:keepNext w:val="0"/>
        <w:keepLines w:val="0"/>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根据上述法律法规及相关文件要求，为</w:t>
      </w:r>
      <w:r>
        <w:rPr>
          <w:rFonts w:hint="eastAsia" w:ascii="仿宋" w:hAnsi="仿宋" w:eastAsia="仿宋" w:cs="仿宋"/>
          <w:color w:val="000000" w:themeColor="text1"/>
          <w:sz w:val="24"/>
          <w:szCs w:val="24"/>
          <w:lang w:eastAsia="zh-CN"/>
          <w14:textFill>
            <w14:solidFill>
              <w14:schemeClr w14:val="tx1"/>
            </w14:solidFill>
          </w14:textFill>
        </w:rPr>
        <w:t>能</w:t>
      </w:r>
      <w:r>
        <w:rPr>
          <w:rFonts w:hint="eastAsia" w:ascii="仿宋" w:hAnsi="仿宋" w:eastAsia="仿宋" w:cs="仿宋"/>
          <w:color w:val="000000" w:themeColor="text1"/>
          <w:sz w:val="24"/>
          <w:szCs w:val="24"/>
          <w14:textFill>
            <w14:solidFill>
              <w14:schemeClr w14:val="tx1"/>
            </w14:solidFill>
          </w14:textFill>
        </w:rPr>
        <w:t>及时发现重要信息系统存在的潜在安全隐患，验证现有安全措施的有效性，进一步降低安全风险，确保有关网络及信息系统正常稳定运行，并为之后的相关工作提供有力依据，现拟委托具有公安部第三研究所颁发的《网络安全等级测评与检测评估机构服务认证证书》的等级保护测评机构对本次测评的系统按照等级保护2.0标准开展网络安全等级保护测评工作。</w:t>
      </w:r>
    </w:p>
    <w:p>
      <w:pPr>
        <w:pStyle w:val="7"/>
        <w:numPr>
          <w:ilvl w:val="0"/>
          <w:numId w:val="0"/>
        </w:numPr>
        <w:tabs>
          <w:tab w:val="left" w:pos="584"/>
          <w:tab w:val="clear" w:pos="720"/>
        </w:tabs>
        <w:spacing w:line="360" w:lineRule="auto"/>
        <w:rPr>
          <w:rFonts w:ascii="仿宋" w:hAnsi="仿宋" w:eastAsia="仿宋" w:cs="仿宋"/>
          <w:color w:val="000000" w:themeColor="text1"/>
          <w:sz w:val="24"/>
          <w:szCs w:val="24"/>
          <w14:textFill>
            <w14:solidFill>
              <w14:schemeClr w14:val="tx1"/>
            </w14:solidFill>
          </w14:textFill>
        </w:rPr>
      </w:pPr>
      <w:bookmarkStart w:id="7" w:name="_Toc11062"/>
      <w:r>
        <w:rPr>
          <w:rFonts w:hint="eastAsia" w:ascii="仿宋" w:hAnsi="仿宋" w:eastAsia="仿宋" w:cs="仿宋"/>
          <w:color w:val="000000" w:themeColor="text1"/>
          <w:sz w:val="24"/>
          <w:szCs w:val="24"/>
          <w14:textFill>
            <w14:solidFill>
              <w14:schemeClr w14:val="tx1"/>
            </w14:solidFill>
          </w14:textFill>
        </w:rPr>
        <w:t>（二）项目需求清单</w:t>
      </w:r>
      <w:bookmarkEnd w:id="7"/>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2870"/>
        <w:gridCol w:w="1371"/>
        <w:gridCol w:w="1380"/>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系统名称</w:t>
            </w:r>
          </w:p>
        </w:tc>
        <w:tc>
          <w:tcPr>
            <w:tcW w:w="13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4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医学影像信息</w:t>
            </w:r>
            <w:r>
              <w:rPr>
                <w:rFonts w:hint="eastAsia" w:ascii="仿宋" w:hAnsi="仿宋" w:eastAsia="仿宋" w:cs="仿宋"/>
                <w:color w:val="000000" w:themeColor="text1"/>
                <w:sz w:val="24"/>
                <w:szCs w:val="24"/>
                <w:lang w:eastAsia="zh-CN"/>
                <w14:textFill>
                  <w14:solidFill>
                    <w14:schemeClr w14:val="tx1"/>
                  </w14:solidFill>
                </w14:textFill>
              </w:rPr>
              <w:t>管理</w:t>
            </w:r>
            <w:r>
              <w:rPr>
                <w:rFonts w:hint="eastAsia" w:ascii="仿宋" w:hAnsi="仿宋" w:eastAsia="仿宋" w:cs="仿宋"/>
                <w:color w:val="000000" w:themeColor="text1"/>
                <w:sz w:val="24"/>
                <w:szCs w:val="24"/>
                <w14:textFill>
                  <w14:solidFill>
                    <w14:schemeClr w14:val="tx1"/>
                  </w14:solidFill>
                </w14:textFill>
              </w:rPr>
              <w:t>系统</w:t>
            </w:r>
          </w:p>
        </w:tc>
        <w:tc>
          <w:tcPr>
            <w:tcW w:w="13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个</w:t>
            </w:r>
          </w:p>
        </w:tc>
        <w:tc>
          <w:tcPr>
            <w:tcW w:w="14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医院行政信息管理</w:t>
            </w:r>
            <w:r>
              <w:rPr>
                <w:rFonts w:hint="eastAsia" w:ascii="仿宋" w:hAnsi="仿宋" w:eastAsia="仿宋" w:cs="仿宋"/>
                <w:color w:val="000000" w:themeColor="text1"/>
                <w:sz w:val="24"/>
                <w:szCs w:val="24"/>
                <w:lang w:eastAsia="zh-CN"/>
                <w14:textFill>
                  <w14:solidFill>
                    <w14:schemeClr w14:val="tx1"/>
                  </w14:solidFill>
                </w14:textFill>
              </w:rPr>
              <w:t>系统</w:t>
            </w:r>
          </w:p>
        </w:tc>
        <w:tc>
          <w:tcPr>
            <w:tcW w:w="13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个</w:t>
            </w:r>
          </w:p>
        </w:tc>
        <w:tc>
          <w:tcPr>
            <w:tcW w:w="14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bookmarkStart w:id="8" w:name="_Toc17980"/>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06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最高限价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9万元整</w:t>
            </w:r>
          </w:p>
        </w:tc>
      </w:tr>
    </w:tbl>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bookmarkEnd w:id="8"/>
      <w:bookmarkStart w:id="9" w:name="_Toc29724"/>
      <w:r>
        <w:rPr>
          <w:rFonts w:hint="eastAsia" w:ascii="仿宋" w:hAnsi="仿宋" w:eastAsia="仿宋" w:cs="仿宋"/>
          <w:color w:val="000000" w:themeColor="text1"/>
          <w:sz w:val="24"/>
          <w:szCs w:val="24"/>
          <w14:textFill>
            <w14:solidFill>
              <w14:schemeClr w14:val="tx1"/>
            </w14:solidFill>
          </w14:textFill>
        </w:rPr>
        <w:t>实施周期：</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自合同签订之日起至等保测评服务项目结束。</w:t>
      </w:r>
      <w:bookmarkEnd w:id="9"/>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0" w:name="_Toc23122"/>
      <w:r>
        <w:rPr>
          <w:rFonts w:hint="eastAsia" w:ascii="仿宋" w:hAnsi="仿宋" w:eastAsia="仿宋" w:cs="仿宋"/>
          <w:color w:val="000000" w:themeColor="text1"/>
          <w:sz w:val="24"/>
          <w:szCs w:val="24"/>
          <w14:textFill>
            <w14:solidFill>
              <w14:schemeClr w14:val="tx1"/>
            </w14:solidFill>
          </w14:textFill>
        </w:rPr>
        <w:t>（</w:t>
      </w:r>
      <w:bookmarkStart w:id="11" w:name="_Hlk151283120"/>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）服务对象</w:t>
      </w:r>
      <w:bookmarkEnd w:id="11"/>
      <w:r>
        <w:rPr>
          <w:rFonts w:hint="eastAsia" w:ascii="仿宋" w:hAnsi="仿宋" w:eastAsia="仿宋" w:cs="仿宋"/>
          <w:color w:val="000000" w:themeColor="text1"/>
          <w:sz w:val="24"/>
          <w:szCs w:val="24"/>
          <w14:textFill>
            <w14:solidFill>
              <w14:schemeClr w14:val="tx1"/>
            </w14:solidFill>
          </w14:textFill>
        </w:rPr>
        <w:t>：</w:t>
      </w:r>
      <w:bookmarkEnd w:id="10"/>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广东省第二荣军优抚医院（以下简称采购方）。</w:t>
      </w:r>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2" w:name="_Toc21024"/>
      <w:r>
        <w:rPr>
          <w:rFonts w:hint="eastAsia" w:ascii="仿宋" w:hAnsi="仿宋" w:eastAsia="仿宋" w:cs="仿宋"/>
          <w:color w:val="000000" w:themeColor="text1"/>
          <w:sz w:val="24"/>
          <w:szCs w:val="24"/>
          <w14:textFill>
            <w14:solidFill>
              <w14:schemeClr w14:val="tx1"/>
            </w14:solidFill>
          </w14:textFill>
        </w:rPr>
        <w:t>二、服务内容及要求</w:t>
      </w:r>
      <w:bookmarkEnd w:id="12"/>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3" w:name="_Toc15768"/>
      <w:r>
        <w:rPr>
          <w:rFonts w:hint="eastAsia" w:ascii="仿宋" w:hAnsi="仿宋" w:eastAsia="仿宋" w:cs="仿宋"/>
          <w:color w:val="000000" w:themeColor="text1"/>
          <w:sz w:val="24"/>
          <w:szCs w:val="24"/>
          <w14:textFill>
            <w14:solidFill>
              <w14:schemeClr w14:val="tx1"/>
            </w14:solidFill>
          </w14:textFill>
        </w:rPr>
        <w:t>（一）测评内容</w:t>
      </w:r>
      <w:bookmarkEnd w:id="13"/>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测评内容包括安全物理环境、安全通信网络、安全区域边界、安全计算环境、安全管理中心、安全管理制度、安全管理机构、安全管理人员、安全建设管理、安全运维管理。具体范围包括：机房物理环境、服务器存储设备、网络设备、安全设备、重要终端及以上设备中所承载的数据库软件，操作系统软件、应用中间件、安全防护软件等。</w:t>
      </w:r>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4" w:name="_Toc19447"/>
      <w:r>
        <w:rPr>
          <w:rFonts w:hint="eastAsia" w:ascii="仿宋" w:hAnsi="仿宋" w:eastAsia="仿宋" w:cs="仿宋"/>
          <w:color w:val="000000" w:themeColor="text1"/>
          <w:sz w:val="24"/>
          <w:szCs w:val="24"/>
          <w14:textFill>
            <w14:solidFill>
              <w14:schemeClr w14:val="tx1"/>
            </w14:solidFill>
          </w14:textFill>
        </w:rPr>
        <w:t>（二）测评技术与方法</w:t>
      </w:r>
      <w:bookmarkEnd w:id="14"/>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供应商以访谈、现场勘查、上机查看、工具测试等方式开展测评工作，所有获取测评证据的过程尽可能不影响信息系统的正常运行，对于可能产生的负面影响（如有）中标方需要在</w:t>
      </w:r>
      <w:r>
        <w:rPr>
          <w:rFonts w:hint="eastAsia" w:ascii="仿宋" w:hAnsi="仿宋" w:eastAsia="仿宋" w:cs="仿宋"/>
          <w:color w:val="000000" w:themeColor="text1"/>
          <w:sz w:val="24"/>
          <w:szCs w:val="24"/>
          <w:lang w:val="en-US" w:eastAsia="zh-CN"/>
          <w14:textFill>
            <w14:solidFill>
              <w14:schemeClr w14:val="tx1"/>
            </w14:solidFill>
          </w14:textFill>
        </w:rPr>
        <w:t>资格文件</w:t>
      </w:r>
      <w:r>
        <w:rPr>
          <w:rFonts w:hint="eastAsia" w:ascii="仿宋" w:hAnsi="仿宋" w:eastAsia="仿宋" w:cs="仿宋"/>
          <w:color w:val="000000" w:themeColor="text1"/>
          <w:sz w:val="24"/>
          <w:szCs w:val="24"/>
          <w14:textFill>
            <w14:solidFill>
              <w14:schemeClr w14:val="tx1"/>
            </w14:solidFill>
          </w14:textFill>
        </w:rPr>
        <w:t>中做具体描述。因目前信息系统均为B/S架构，在测评过程中测评机构需重点对WEB应用业务进行安全测试，供应商需在</w:t>
      </w:r>
      <w:r>
        <w:rPr>
          <w:rFonts w:hint="eastAsia" w:ascii="仿宋" w:hAnsi="仿宋" w:eastAsia="仿宋" w:cs="仿宋"/>
          <w:color w:val="000000" w:themeColor="text1"/>
          <w:sz w:val="24"/>
          <w:szCs w:val="24"/>
          <w:lang w:val="en-US" w:eastAsia="zh-CN"/>
          <w14:textFill>
            <w14:solidFill>
              <w14:schemeClr w14:val="tx1"/>
            </w14:solidFill>
          </w14:textFill>
        </w:rPr>
        <w:t>资格</w:t>
      </w:r>
      <w:r>
        <w:rPr>
          <w:rFonts w:hint="eastAsia" w:ascii="仿宋" w:hAnsi="仿宋" w:eastAsia="仿宋" w:cs="仿宋"/>
          <w:color w:val="000000" w:themeColor="text1"/>
          <w:sz w:val="24"/>
          <w:szCs w:val="24"/>
          <w14:textFill>
            <w14:solidFill>
              <w14:schemeClr w14:val="tx1"/>
            </w14:solidFill>
          </w14:textFill>
        </w:rPr>
        <w:t>文件中对web安全测试方法与测评用例做出详细说明。</w:t>
      </w:r>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ascii="仿宋" w:hAnsi="仿宋" w:eastAsia="仿宋" w:cs="仿宋"/>
          <w:color w:val="000000" w:themeColor="text1"/>
          <w:sz w:val="24"/>
          <w:szCs w:val="24"/>
          <w14:textFill>
            <w14:solidFill>
              <w14:schemeClr w14:val="tx1"/>
            </w14:solidFill>
          </w14:textFill>
        </w:rPr>
      </w:pPr>
      <w:bookmarkStart w:id="15" w:name="_Toc4665"/>
      <w:r>
        <w:rPr>
          <w:rFonts w:hint="eastAsia" w:ascii="仿宋" w:hAnsi="仿宋" w:eastAsia="仿宋" w:cs="仿宋"/>
          <w:color w:val="000000" w:themeColor="text1"/>
          <w:sz w:val="24"/>
          <w:szCs w:val="24"/>
          <w14:textFill>
            <w14:solidFill>
              <w14:schemeClr w14:val="tx1"/>
            </w14:solidFill>
          </w14:textFill>
        </w:rPr>
        <w:t>（三）测评实施要求</w:t>
      </w:r>
      <w:bookmarkEnd w:id="15"/>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1、为了保证本次测评项目的实施质量和工期，本项目采用项目经理负责制、供应商应安排具备一定网络安全技术能力、项目管理能力与等级测评工作经验的人员担任项目经理。</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2、项目进场实施前，供应商必须与采购方签订项目保密协议。现场实施过程中测评人员必须严格按照采购方的安全管理规定，接受采购方的管理。</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3、供应商需在签订合同后10日内制定合理的项目实施计划。</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4、本次项目实施过程主要分为准备阶段、方案编制阶段、现场测评阶段、分析与报告编制四个主要项目阶段，供应商在方案中明确各阶段双方的主要工作，各阶段双方须相互配合协调的内容。</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5、为保证实施期间的系统安全运行，供应商应在合同期限内提供相应的应急响应服务，供应商的</w:t>
      </w:r>
      <w:r>
        <w:rPr>
          <w:rFonts w:hint="eastAsia" w:ascii="仿宋" w:hAnsi="仿宋" w:eastAsia="仿宋" w:cs="仿宋"/>
          <w:color w:val="000000" w:themeColor="text1"/>
          <w:sz w:val="24"/>
          <w:szCs w:val="24"/>
          <w:lang w:val="en-US" w:eastAsia="zh-CN"/>
          <w14:textFill>
            <w14:solidFill>
              <w14:schemeClr w14:val="tx1"/>
            </w14:solidFill>
          </w14:textFill>
        </w:rPr>
        <w:t>资格</w:t>
      </w:r>
      <w:r>
        <w:rPr>
          <w:rFonts w:hint="eastAsia" w:ascii="仿宋" w:hAnsi="仿宋" w:eastAsia="仿宋" w:cs="仿宋"/>
          <w:color w:val="000000" w:themeColor="text1"/>
          <w:sz w:val="24"/>
          <w:szCs w:val="24"/>
          <w14:textFill>
            <w14:solidFill>
              <w14:schemeClr w14:val="tx1"/>
            </w14:solidFill>
          </w14:textFill>
        </w:rPr>
        <w:t>文件中须对期间可能出现的系统典型安全事件的处理流程与应急处理方法做出详细说明。</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6、在项目实施过程中项目经理应全程负责项目实施过程的把控。</w:t>
      </w:r>
    </w:p>
    <w:p>
      <w:pPr>
        <w:pStyle w:val="7"/>
        <w:pageBreakBefore w:val="0"/>
        <w:numPr>
          <w:ilvl w:val="0"/>
          <w:numId w:val="0"/>
        </w:numPr>
        <w:tabs>
          <w:tab w:val="left" w:pos="584"/>
          <w:tab w:val="clear" w:pos="720"/>
        </w:tabs>
        <w:kinsoku/>
        <w:wordWrap/>
        <w:overflowPunct/>
        <w:topLinePunct w:val="0"/>
        <w:autoSpaceDE/>
        <w:autoSpaceDN/>
        <w:bidi w:val="0"/>
        <w:adjustRightInd/>
        <w:snapToGrid/>
        <w:spacing w:line="516"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bookmarkStart w:id="16" w:name="_Toc29932"/>
      <w:r>
        <w:rPr>
          <w:rFonts w:hint="eastAsia" w:ascii="仿宋" w:hAnsi="仿宋" w:eastAsia="仿宋" w:cs="仿宋"/>
          <w:color w:val="000000" w:themeColor="text1"/>
          <w:sz w:val="24"/>
          <w:szCs w:val="24"/>
          <w:lang w:val="en-US" w:eastAsia="zh-CN"/>
          <w14:textFill>
            <w14:solidFill>
              <w14:schemeClr w14:val="tx1"/>
            </w14:solidFill>
          </w14:textFill>
        </w:rPr>
        <w:t>三、技术要求</w:t>
      </w:r>
    </w:p>
    <w:p>
      <w:pPr>
        <w:pageBreakBefore w:val="0"/>
        <w:kinsoku/>
        <w:wordWrap/>
        <w:overflowPunct/>
        <w:topLinePunct w:val="0"/>
        <w:autoSpaceDE/>
        <w:autoSpaceDN/>
        <w:bidi w:val="0"/>
        <w:adjustRightInd/>
        <w:snapToGrid/>
        <w:spacing w:line="516" w:lineRule="exact"/>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资格文件提供网络安全等级保护测评技术方案的，技术方案须包括：测评整体技术方案、Web安全测试、风险分析与控制措施、安全事件应急响应流程与方法等。</w:t>
      </w:r>
    </w:p>
    <w:p>
      <w:pPr>
        <w:pStyle w:val="2"/>
        <w:keepNext/>
        <w:keepLines/>
        <w:pageBreakBefore w:val="0"/>
        <w:widowControl w:val="0"/>
        <w:kinsoku/>
        <w:wordWrap/>
        <w:overflowPunct/>
        <w:topLinePunct w:val="0"/>
        <w:autoSpaceDE/>
        <w:autoSpaceDN/>
        <w:bidi w:val="0"/>
        <w:adjustRightInd/>
        <w:snapToGrid/>
        <w:spacing w:before="0" w:after="0" w:line="516" w:lineRule="exact"/>
        <w:ind w:firstLine="480" w:firstLineChars="200"/>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提供网络安全等级保护测评实施方案的，实施方案须包括：人员组织架构、时间计划安排、项目质量管理、测评服务实施、验收和培训等。</w:t>
      </w:r>
    </w:p>
    <w:bookmarkEnd w:id="4"/>
    <w:bookmarkEnd w:id="5"/>
    <w:bookmarkEnd w:id="16"/>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japaneseCounting"/>
      <w:pStyle w:val="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42062CC4"/>
    <w:multiLevelType w:val="multilevel"/>
    <w:tmpl w:val="42062CC4"/>
    <w:lvl w:ilvl="0" w:tentative="0">
      <w:start w:val="1"/>
      <w:numFmt w:val="decimal"/>
      <w:pStyle w:val="3"/>
      <w:suff w:val="nothing"/>
      <w:lvlText w:val="第 %1 部分 "/>
      <w:lvlJc w:val="left"/>
      <w:pPr>
        <w:ind w:left="0" w:firstLine="0"/>
      </w:pPr>
      <w:rPr>
        <w:rFonts w:hint="eastAsia" w:ascii="黑体" w:hAnsi="宋体" w:eastAsia="黑体" w:cs="Times New Roman"/>
        <w:b/>
        <w:i w:val="0"/>
        <w:iCs w:val="0"/>
        <w:caps w:val="0"/>
        <w:smallCaps w:val="0"/>
        <w:strike w:val="0"/>
        <w:dstrike w:val="0"/>
        <w:vanish w:val="0"/>
        <w:spacing w:val="0"/>
        <w:position w:val="0"/>
        <w:u w:val="none"/>
        <w:vertAlign w:val="baseline"/>
      </w:rPr>
    </w:lvl>
    <w:lvl w:ilvl="1" w:tentative="0">
      <w:start w:val="1"/>
      <w:numFmt w:val="decimal"/>
      <w:isLgl/>
      <w:suff w:val="nothing"/>
      <w:lvlText w:val="%1.%2 "/>
      <w:lvlJc w:val="left"/>
      <w:pPr>
        <w:ind w:left="0" w:firstLine="0"/>
      </w:pPr>
      <w:rPr>
        <w:rFonts w:hint="eastAsia" w:cs="Times New Roman"/>
      </w:rPr>
    </w:lvl>
    <w:lvl w:ilvl="2" w:tentative="0">
      <w:start w:val="1"/>
      <w:numFmt w:val="none"/>
      <w:isLgl/>
      <w:suff w:val="nothing"/>
      <w:lvlText w:val=""/>
      <w:lvlJc w:val="left"/>
      <w:pPr>
        <w:ind w:left="0" w:firstLine="0"/>
      </w:pPr>
      <w:rPr>
        <w:rFonts w:hint="eastAsia" w:ascii="Arial Unicode MS" w:hAnsi="Arial Unicode MS" w:eastAsia="Arial Unicode MS" w:cs="Arial Unicode MS"/>
        <w:sz w:val="24"/>
        <w:szCs w:val="24"/>
      </w:rPr>
    </w:lvl>
    <w:lvl w:ilvl="3" w:tentative="0">
      <w:start w:val="1"/>
      <w:numFmt w:val="none"/>
      <w:isLgl/>
      <w:suff w:val="nothing"/>
      <w:lvlText w:val=""/>
      <w:lvlJc w:val="left"/>
      <w:pPr>
        <w:ind w:left="0" w:firstLine="0"/>
      </w:pPr>
      <w:rPr>
        <w:rFonts w:hint="eastAsia" w:cs="Times New Roman"/>
      </w:rPr>
    </w:lvl>
    <w:lvl w:ilvl="4" w:tentative="0">
      <w:start w:val="1"/>
      <w:numFmt w:val="decimal"/>
      <w:isLgl/>
      <w:suff w:val="nothing"/>
      <w:lvlText w:val="%1.%2.%3.%4.%5 "/>
      <w:lvlJc w:val="left"/>
      <w:pPr>
        <w:ind w:left="0" w:firstLine="0"/>
      </w:pPr>
      <w:rPr>
        <w:rFonts w:hint="eastAsia" w:cs="Times New Roman"/>
        <w:sz w:val="28"/>
        <w:szCs w:val="28"/>
      </w:rPr>
    </w:lvl>
    <w:lvl w:ilvl="5" w:tentative="0">
      <w:start w:val="1"/>
      <w:numFmt w:val="none"/>
      <w:suff w:val="nothing"/>
      <w:lvlText w:val=""/>
      <w:lvlJc w:val="left"/>
      <w:pPr>
        <w:ind w:left="0" w:firstLine="0"/>
      </w:pPr>
      <w:rPr>
        <w:rFonts w:hint="eastAsia" w:cs="Times New Roman"/>
      </w:rPr>
    </w:lvl>
    <w:lvl w:ilvl="6" w:tentative="0">
      <w:start w:val="1"/>
      <w:numFmt w:val="none"/>
      <w:suff w:val="nothing"/>
      <w:lvlText w:val=""/>
      <w:lvlJc w:val="left"/>
      <w:pPr>
        <w:ind w:left="0" w:firstLine="0"/>
      </w:pPr>
      <w:rPr>
        <w:rFonts w:hint="eastAsia" w:cs="Times New Roman"/>
      </w:rPr>
    </w:lvl>
    <w:lvl w:ilvl="7" w:tentative="0">
      <w:start w:val="1"/>
      <w:numFmt w:val="none"/>
      <w:suff w:val="nothing"/>
      <w:lvlText w:val=""/>
      <w:lvlJc w:val="left"/>
      <w:pPr>
        <w:ind w:left="0" w:firstLine="0"/>
      </w:pPr>
      <w:rPr>
        <w:rFonts w:hint="eastAsia" w:cs="Times New Roman"/>
      </w:rPr>
    </w:lvl>
    <w:lvl w:ilvl="8" w:tentative="0">
      <w:start w:val="1"/>
      <w:numFmt w:val="none"/>
      <w:suff w:val="nothing"/>
      <w:lvlText w:val=""/>
      <w:lvlJc w:val="left"/>
      <w:pPr>
        <w:ind w:left="0" w:firstLine="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WM3ZWRiNWZlYzViOTUwOTViZWFmYmY4NDAyNTMifQ=="/>
  </w:docVars>
  <w:rsids>
    <w:rsidRoot w:val="3E481542"/>
    <w:rsid w:val="0A650D56"/>
    <w:rsid w:val="0BFC4793"/>
    <w:rsid w:val="16CD15E9"/>
    <w:rsid w:val="29A23FE2"/>
    <w:rsid w:val="35F82114"/>
    <w:rsid w:val="3E481542"/>
    <w:rsid w:val="56C2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numPr>
        <w:ilvl w:val="0"/>
        <w:numId w:val="1"/>
      </w:numPr>
      <w:spacing w:line="360" w:lineRule="auto"/>
      <w:ind w:firstLine="200" w:firstLineChars="200"/>
      <w:jc w:val="center"/>
      <w:outlineLvl w:val="0"/>
    </w:pPr>
    <w:rPr>
      <w:rFonts w:ascii="楷体_GB2312" w:eastAsia="楷体_GB2312"/>
      <w:sz w:val="28"/>
      <w:szCs w:val="28"/>
    </w:rPr>
  </w:style>
  <w:style w:type="paragraph" w:styleId="2">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360" w:lineRule="auto"/>
      <w:ind w:firstLine="200" w:firstLineChars="200"/>
    </w:pPr>
    <w:rPr>
      <w:rFonts w:ascii="楷体_GB2312" w:hAnsi="Arial" w:eastAsia="楷体_GB2312"/>
      <w:sz w:val="28"/>
      <w:szCs w:val="28"/>
    </w:rPr>
  </w:style>
  <w:style w:type="paragraph" w:customStyle="1" w:styleId="7">
    <w:name w:val="二级目录"/>
    <w:next w:val="1"/>
    <w:autoRedefine/>
    <w:qFormat/>
    <w:uiPriority w:val="0"/>
    <w:pPr>
      <w:numPr>
        <w:ilvl w:val="0"/>
        <w:numId w:val="2"/>
      </w:numPr>
      <w:outlineLvl w:val="1"/>
    </w:pPr>
    <w:rPr>
      <w:rFonts w:asciiTheme="minorHAnsi" w:hAnsiTheme="minorHAnsi" w:eastAsiaTheme="minorEastAsia" w:cstheme="minorBidi"/>
      <w:b/>
      <w:kern w:val="2"/>
      <w:sz w:val="30"/>
      <w:szCs w:val="28"/>
      <w:lang w:val="en-US" w:eastAsia="zh-CN" w:bidi="ar-SA"/>
    </w:rPr>
  </w:style>
  <w:style w:type="paragraph" w:customStyle="1" w:styleId="8">
    <w:name w:val="一级目录"/>
    <w:next w:val="1"/>
    <w:qFormat/>
    <w:uiPriority w:val="0"/>
    <w:pPr>
      <w:spacing w:afterLines="100"/>
      <w:jc w:val="center"/>
      <w:outlineLvl w:val="0"/>
    </w:pPr>
    <w:rPr>
      <w:rFonts w:ascii="黑体" w:hAnsi="Times New Roman" w:eastAsia="黑体" w:cstheme="minorBidi"/>
      <w:b/>
      <w:kern w:val="2"/>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2023-11-27T01:25:00Z</dcterms:created>
  <dc:creator>肥咯咯</dc:creator>
  <cp:lastModifiedBy>九天不吃饭</cp:lastModifiedBy>
  <cp:lastPrinted>2023-11-30T01:24:00Z</cp:lastPrinted>
  <dcterms:modified xsi:type="dcterms:W3CDTF">2024-04-29T08:39:08Z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3E2FAAE8B1864FAF9E1B850D500B5F87_13</vt:lpwstr>
  </property>
</Properties>
</file>