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（包组名称）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报价为总价包干，包括但不限于：货物包装、运输、税费等一切费用。）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后附配置清单，应包含：功能室、货物名称、参数、规格、货物彩图、单价、总价等）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（包组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D5399"/>
    <w:multiLevelType w:val="singleLevel"/>
    <w:tmpl w:val="F28D5399"/>
    <w:lvl w:ilvl="0" w:tentative="0">
      <w:start w:val="1"/>
      <w:numFmt w:val="decimal"/>
      <w:lvlText w:val="（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B1F346C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6F3C1B93"/>
    <w:rsid w:val="738358EA"/>
    <w:rsid w:val="74931A88"/>
    <w:rsid w:val="751F03A6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2024-04-07T08:02:18Z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8415B487409D4814AD10EAF52E6A6E1D_13</vt:lpwstr>
  </property>
</Properties>
</file>